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EE3A" w14:textId="3C627F2D" w:rsidR="00165D7A" w:rsidRPr="00B824DE" w:rsidRDefault="00165D7A" w:rsidP="00165D7A">
      <w:pPr>
        <w:ind w:left="720" w:hanging="360"/>
        <w:rPr>
          <w:rFonts w:ascii="Arial" w:hAnsi="Arial" w:cs="Arial"/>
          <w:b/>
          <w:bCs/>
        </w:rPr>
      </w:pPr>
      <w:r w:rsidRPr="00B824DE">
        <w:rPr>
          <w:rFonts w:ascii="Arial" w:hAnsi="Arial" w:cs="Arial"/>
          <w:b/>
          <w:bCs/>
        </w:rPr>
        <w:t>FAQ’s</w:t>
      </w:r>
      <w:r w:rsidR="00B824DE">
        <w:rPr>
          <w:rFonts w:ascii="Arial" w:hAnsi="Arial" w:cs="Arial"/>
          <w:b/>
          <w:bCs/>
        </w:rPr>
        <w:t xml:space="preserve"> (12.10.22)</w:t>
      </w:r>
    </w:p>
    <w:p w14:paraId="2BAE2478" w14:textId="77777777" w:rsidR="00165D7A" w:rsidRPr="00165D7A" w:rsidRDefault="00165D7A" w:rsidP="00165D7A">
      <w:pPr>
        <w:pStyle w:val="ListParagraph"/>
        <w:numPr>
          <w:ilvl w:val="0"/>
          <w:numId w:val="1"/>
        </w:numPr>
        <w:rPr>
          <w:rFonts w:ascii="Arial" w:eastAsia="Times New Roman" w:hAnsi="Arial" w:cs="Arial"/>
          <w:b/>
          <w:bCs/>
        </w:rPr>
      </w:pPr>
      <w:r w:rsidRPr="00165D7A">
        <w:rPr>
          <w:rFonts w:ascii="Arial" w:eastAsia="Times New Roman" w:hAnsi="Arial" w:cs="Arial"/>
          <w:b/>
          <w:bCs/>
        </w:rPr>
        <w:t>Where should we direct queries about the inclusion of the GPA role in the additional roles scheme?</w:t>
      </w:r>
    </w:p>
    <w:p w14:paraId="52B9EB74" w14:textId="77777777" w:rsidR="00165D7A" w:rsidRPr="00165D7A" w:rsidRDefault="00165D7A" w:rsidP="00165D7A">
      <w:pPr>
        <w:ind w:firstLine="720"/>
        <w:rPr>
          <w:rFonts w:ascii="Arial" w:hAnsi="Arial" w:cs="Arial"/>
        </w:rPr>
      </w:pPr>
      <w:r w:rsidRPr="00165D7A">
        <w:rPr>
          <w:rFonts w:ascii="Arial" w:hAnsi="Arial" w:cs="Arial"/>
        </w:rPr>
        <w:t xml:space="preserve">Please direct all queries to </w:t>
      </w:r>
      <w:hyperlink r:id="rId8" w:history="1">
        <w:r w:rsidRPr="00165D7A">
          <w:rPr>
            <w:rStyle w:val="Hyperlink"/>
            <w:rFonts w:ascii="Arial" w:hAnsi="Arial" w:cs="Arial"/>
          </w:rPr>
          <w:t>england.primarycareworkforce@nhs.net</w:t>
        </w:r>
      </w:hyperlink>
      <w:r w:rsidRPr="00165D7A">
        <w:rPr>
          <w:rFonts w:ascii="Arial" w:hAnsi="Arial" w:cs="Arial"/>
        </w:rPr>
        <w:t xml:space="preserve">. </w:t>
      </w:r>
    </w:p>
    <w:p w14:paraId="418AB581" w14:textId="77777777" w:rsidR="00165D7A" w:rsidRPr="00165D7A" w:rsidRDefault="00165D7A" w:rsidP="00165D7A">
      <w:pPr>
        <w:pStyle w:val="ListParagraph"/>
        <w:ind w:left="1440"/>
        <w:rPr>
          <w:rFonts w:ascii="Arial" w:hAnsi="Arial" w:cs="Arial"/>
        </w:rPr>
      </w:pPr>
    </w:p>
    <w:p w14:paraId="0161F314" w14:textId="77777777" w:rsidR="00165D7A" w:rsidRPr="00165D7A" w:rsidRDefault="00165D7A" w:rsidP="00165D7A">
      <w:pPr>
        <w:pStyle w:val="ListParagraph"/>
        <w:numPr>
          <w:ilvl w:val="0"/>
          <w:numId w:val="1"/>
        </w:numPr>
        <w:rPr>
          <w:rFonts w:ascii="Arial" w:eastAsia="Times New Roman" w:hAnsi="Arial" w:cs="Arial"/>
          <w:b/>
          <w:bCs/>
        </w:rPr>
      </w:pPr>
      <w:r w:rsidRPr="00165D7A">
        <w:rPr>
          <w:rFonts w:ascii="Arial" w:eastAsia="Times New Roman" w:hAnsi="Arial" w:cs="Arial"/>
          <w:b/>
          <w:bCs/>
        </w:rPr>
        <w:t>Where should we direct staff members who would like to take up the accredited training offer?</w:t>
      </w:r>
    </w:p>
    <w:p w14:paraId="25B6F83F" w14:textId="77777777" w:rsidR="00165D7A" w:rsidRPr="00165D7A" w:rsidRDefault="00165D7A" w:rsidP="00165D7A">
      <w:pPr>
        <w:pStyle w:val="ListParagraph"/>
        <w:rPr>
          <w:rFonts w:ascii="Arial" w:hAnsi="Arial" w:cs="Arial"/>
          <w:color w:val="222222"/>
          <w:sz w:val="29"/>
          <w:szCs w:val="29"/>
        </w:rPr>
      </w:pPr>
      <w:r w:rsidRPr="00165D7A">
        <w:rPr>
          <w:rFonts w:ascii="Arial" w:hAnsi="Arial" w:cs="Arial"/>
        </w:rPr>
        <w:t xml:space="preserve">Please direct them to </w:t>
      </w:r>
      <w:hyperlink r:id="rId9" w:history="1">
        <w:r w:rsidRPr="00165D7A">
          <w:rPr>
            <w:rStyle w:val="Hyperlink"/>
            <w:rFonts w:ascii="Arial" w:hAnsi="Arial" w:cs="Arial"/>
            <w:color w:val="A00054"/>
          </w:rPr>
          <w:t>transformation@hee.nhs.uk</w:t>
        </w:r>
      </w:hyperlink>
      <w:r w:rsidRPr="00165D7A">
        <w:rPr>
          <w:rFonts w:ascii="Arial" w:hAnsi="Arial" w:cs="Arial"/>
          <w:color w:val="222222"/>
        </w:rPr>
        <w:t>.</w:t>
      </w:r>
      <w:r w:rsidRPr="00165D7A">
        <w:rPr>
          <w:rFonts w:ascii="Arial" w:hAnsi="Arial" w:cs="Arial"/>
          <w:color w:val="222222"/>
          <w:sz w:val="29"/>
          <w:szCs w:val="29"/>
        </w:rPr>
        <w:t> </w:t>
      </w:r>
    </w:p>
    <w:p w14:paraId="775E4248" w14:textId="77777777" w:rsidR="00165D7A" w:rsidRPr="00165D7A" w:rsidRDefault="00165D7A" w:rsidP="00165D7A">
      <w:pPr>
        <w:pStyle w:val="ListParagraph"/>
        <w:rPr>
          <w:rFonts w:ascii="Arial" w:hAnsi="Arial" w:cs="Arial"/>
          <w:color w:val="222222"/>
          <w:sz w:val="29"/>
          <w:szCs w:val="29"/>
        </w:rPr>
      </w:pPr>
    </w:p>
    <w:p w14:paraId="5E0359B1" w14:textId="09D23D8D" w:rsidR="008A18D5" w:rsidRPr="008A18D5" w:rsidRDefault="008A18D5" w:rsidP="008A18D5">
      <w:pPr>
        <w:pStyle w:val="ListParagraph"/>
        <w:numPr>
          <w:ilvl w:val="0"/>
          <w:numId w:val="1"/>
        </w:numPr>
        <w:rPr>
          <w:rFonts w:ascii="Arial" w:hAnsi="Arial" w:cs="Arial"/>
          <w:color w:val="FF0000"/>
        </w:rPr>
      </w:pPr>
      <w:r w:rsidRPr="008A18D5">
        <w:rPr>
          <w:rFonts w:ascii="Arial" w:hAnsi="Arial" w:cs="Arial"/>
          <w:b/>
          <w:bCs/>
          <w:color w:val="FF0000"/>
        </w:rPr>
        <w:t xml:space="preserve">What funding is available for the GPA </w:t>
      </w:r>
      <w:r w:rsidR="00312C6E">
        <w:rPr>
          <w:rFonts w:ascii="Arial" w:hAnsi="Arial" w:cs="Arial"/>
          <w:b/>
          <w:bCs/>
          <w:color w:val="FF0000"/>
        </w:rPr>
        <w:t>roles a</w:t>
      </w:r>
      <w:r w:rsidRPr="008A18D5">
        <w:rPr>
          <w:rFonts w:ascii="Arial" w:hAnsi="Arial" w:cs="Arial"/>
          <w:b/>
          <w:bCs/>
          <w:color w:val="FF0000"/>
        </w:rPr>
        <w:t>nd training?</w:t>
      </w:r>
    </w:p>
    <w:p w14:paraId="4194D19D" w14:textId="77777777" w:rsidR="008A18D5" w:rsidRPr="00EE14DB" w:rsidRDefault="008A18D5" w:rsidP="008A18D5">
      <w:pPr>
        <w:spacing w:line="252" w:lineRule="auto"/>
        <w:ind w:left="720"/>
        <w:rPr>
          <w:rFonts w:ascii="Arial" w:hAnsi="Arial" w:cs="Arial"/>
        </w:rPr>
      </w:pPr>
      <w:r w:rsidRPr="00EE14DB">
        <w:rPr>
          <w:rFonts w:ascii="Arial" w:hAnsi="Arial" w:cs="Arial"/>
        </w:rPr>
        <w:t xml:space="preserve">Primary Care Networks </w:t>
      </w:r>
      <w:proofErr w:type="gramStart"/>
      <w:r w:rsidRPr="00EE14DB">
        <w:rPr>
          <w:rFonts w:ascii="Arial" w:hAnsi="Arial" w:cs="Arial"/>
        </w:rPr>
        <w:t>are able to</w:t>
      </w:r>
      <w:proofErr w:type="gramEnd"/>
      <w:r w:rsidRPr="00EE14DB">
        <w:rPr>
          <w:rFonts w:ascii="Arial" w:hAnsi="Arial" w:cs="Arial"/>
        </w:rPr>
        <w:t xml:space="preserve"> claim reimbursement for the </w:t>
      </w:r>
      <w:r w:rsidRPr="00FE473D">
        <w:rPr>
          <w:rFonts w:ascii="Arial" w:hAnsi="Arial" w:cs="Arial"/>
          <w:b/>
          <w:bCs/>
        </w:rPr>
        <w:t xml:space="preserve">salaries and some on costs </w:t>
      </w:r>
      <w:r w:rsidRPr="00EE14DB">
        <w:rPr>
          <w:rFonts w:ascii="Arial" w:hAnsi="Arial" w:cs="Arial"/>
        </w:rPr>
        <w:t xml:space="preserve">of GPAs hired through the Additional Roles Reimbursement Scheme. Details of the scheme, and available levels of funding can be found in the </w:t>
      </w:r>
      <w:hyperlink r:id="rId10" w:history="1">
        <w:r w:rsidRPr="00EE14DB">
          <w:rPr>
            <w:rStyle w:val="Hyperlink"/>
            <w:rFonts w:ascii="Arial" w:hAnsi="Arial" w:cs="Arial"/>
          </w:rPr>
          <w:t>Network Contract DES</w:t>
        </w:r>
      </w:hyperlink>
      <w:r w:rsidRPr="00EE14DB">
        <w:rPr>
          <w:rFonts w:ascii="Arial" w:hAnsi="Arial" w:cs="Arial"/>
        </w:rPr>
        <w:t>.</w:t>
      </w:r>
    </w:p>
    <w:p w14:paraId="053A469C" w14:textId="77777777" w:rsidR="008A18D5" w:rsidRPr="00EE14DB" w:rsidRDefault="008A18D5" w:rsidP="008A18D5">
      <w:pPr>
        <w:spacing w:line="252" w:lineRule="auto"/>
        <w:ind w:left="720"/>
        <w:rPr>
          <w:rFonts w:ascii="Arial" w:hAnsi="Arial" w:cs="Arial"/>
        </w:rPr>
      </w:pPr>
      <w:r w:rsidRPr="00EE14DB">
        <w:rPr>
          <w:rFonts w:ascii="Arial" w:hAnsi="Arial" w:cs="Arial"/>
        </w:rPr>
        <w:t xml:space="preserve">For those wishing to also undertake the accredited training programme, </w:t>
      </w:r>
      <w:r w:rsidRPr="00FE473D">
        <w:rPr>
          <w:rFonts w:ascii="Arial" w:hAnsi="Arial" w:cs="Arial"/>
          <w:b/>
          <w:bCs/>
        </w:rPr>
        <w:t>individual course fees will be covered</w:t>
      </w:r>
      <w:r w:rsidRPr="00EE14DB">
        <w:rPr>
          <w:rFonts w:ascii="Arial" w:hAnsi="Arial" w:cs="Arial"/>
        </w:rPr>
        <w:t xml:space="preserve">, and you will need to register your interest with </w:t>
      </w:r>
      <w:hyperlink r:id="rId11" w:history="1">
        <w:r w:rsidRPr="00EE14DB">
          <w:rPr>
            <w:rStyle w:val="Hyperlink"/>
            <w:rFonts w:ascii="Arial" w:hAnsi="Arial" w:cs="Arial"/>
          </w:rPr>
          <w:t>transformation@hee.nhs.uk</w:t>
        </w:r>
      </w:hyperlink>
      <w:r w:rsidRPr="00EE14DB">
        <w:rPr>
          <w:rFonts w:ascii="Arial" w:hAnsi="Arial" w:cs="Arial"/>
        </w:rPr>
        <w:t>.  We</w:t>
      </w:r>
      <w:r w:rsidRPr="00EE14DB">
        <w:rPr>
          <w:rFonts w:ascii="Arial" w:hAnsi="Arial" w:cs="Arial"/>
          <w:lang w:val="en-US"/>
        </w:rPr>
        <w:t xml:space="preserve"> i</w:t>
      </w:r>
      <w:r w:rsidRPr="00EE14DB">
        <w:rPr>
          <w:rFonts w:ascii="Arial" w:hAnsi="Arial" w:cs="Arial"/>
          <w:color w:val="000000"/>
          <w:lang w:val="en-US"/>
        </w:rPr>
        <w:t xml:space="preserve">ntend to expand the structured, accredited, training route based on PCN demand, and cohorts are unlikely to come online until next year.  </w:t>
      </w:r>
    </w:p>
    <w:p w14:paraId="240BF3E2" w14:textId="77777777" w:rsidR="0020299E" w:rsidRPr="00D456C9" w:rsidRDefault="0020299E" w:rsidP="0020299E">
      <w:pPr>
        <w:pStyle w:val="ListParagraph"/>
        <w:numPr>
          <w:ilvl w:val="0"/>
          <w:numId w:val="1"/>
        </w:numPr>
        <w:spacing w:line="252" w:lineRule="auto"/>
        <w:rPr>
          <w:rFonts w:ascii="Arial" w:hAnsi="Arial" w:cs="Arial"/>
          <w:b/>
          <w:bCs/>
          <w:color w:val="FF0000"/>
        </w:rPr>
      </w:pPr>
      <w:r w:rsidRPr="00D456C9">
        <w:rPr>
          <w:rFonts w:ascii="Arial" w:hAnsi="Arial" w:cs="Arial"/>
          <w:b/>
          <w:bCs/>
          <w:color w:val="FF0000"/>
        </w:rPr>
        <w:t xml:space="preserve">Can individual GP practices claim Additional roles reimbursement for GPAs? </w:t>
      </w:r>
    </w:p>
    <w:p w14:paraId="7997E516" w14:textId="77777777" w:rsidR="0020299E" w:rsidRPr="004327A4" w:rsidRDefault="0020299E" w:rsidP="0020299E">
      <w:pPr>
        <w:ind w:left="720"/>
        <w:rPr>
          <w:rFonts w:ascii="Arial" w:hAnsi="Arial" w:cs="Arial"/>
        </w:rPr>
      </w:pPr>
      <w:r w:rsidRPr="004327A4">
        <w:rPr>
          <w:rFonts w:ascii="Arial" w:hAnsi="Arial" w:cs="Arial"/>
        </w:rPr>
        <w:t xml:space="preserve">The </w:t>
      </w:r>
      <w:hyperlink r:id="rId12" w:history="1">
        <w:r w:rsidRPr="004327A4">
          <w:rPr>
            <w:rStyle w:val="Hyperlink"/>
            <w:rFonts w:ascii="Arial" w:hAnsi="Arial" w:cs="Arial"/>
          </w:rPr>
          <w:t>Network Contract DES</w:t>
        </w:r>
      </w:hyperlink>
      <w:r w:rsidRPr="004327A4">
        <w:rPr>
          <w:rFonts w:ascii="Arial" w:hAnsi="Arial" w:cs="Arial"/>
        </w:rPr>
        <w:t xml:space="preserve"> sets out that ‘Additional Roles must: </w:t>
      </w:r>
      <w:proofErr w:type="spellStart"/>
      <w:r w:rsidRPr="004327A4">
        <w:rPr>
          <w:rFonts w:ascii="Arial" w:hAnsi="Arial" w:cs="Arial"/>
        </w:rPr>
        <w:t>i</w:t>
      </w:r>
      <w:proofErr w:type="spellEnd"/>
      <w:r w:rsidRPr="004327A4">
        <w:rPr>
          <w:rFonts w:ascii="Arial" w:hAnsi="Arial" w:cs="Arial"/>
        </w:rPr>
        <w:t>. be embedded within the PCN’s Core Network Practices and be fully integrated within the multi-disciplinary team delivering healthcare services to patients’</w:t>
      </w:r>
    </w:p>
    <w:p w14:paraId="533C81D7" w14:textId="77777777" w:rsidR="0020299E" w:rsidRPr="004327A4" w:rsidRDefault="0020299E" w:rsidP="0020299E">
      <w:pPr>
        <w:ind w:left="720"/>
        <w:rPr>
          <w:rFonts w:ascii="Arial" w:hAnsi="Arial" w:cs="Arial"/>
        </w:rPr>
      </w:pPr>
      <w:r w:rsidRPr="004327A4">
        <w:rPr>
          <w:rFonts w:ascii="Arial" w:hAnsi="Arial" w:cs="Arial"/>
        </w:rPr>
        <w:t xml:space="preserve">Staff can be employed either by the PCN (if it has set itself up as an organisation, rather than a collaboration of practices) or by individual practices within the PCN. Reimbursement for staff flows through a ‘nominated payee’ (either the PCN, if an organisation, or a lead practice within it). As such, the PCN will be able to claim and distribute reimbursement to GP practices within their network. </w:t>
      </w:r>
    </w:p>
    <w:p w14:paraId="1D58ADE5" w14:textId="77777777" w:rsidR="003100BB" w:rsidRPr="00842F8D" w:rsidRDefault="003100BB" w:rsidP="003100BB">
      <w:pPr>
        <w:pStyle w:val="ListParagraph"/>
        <w:numPr>
          <w:ilvl w:val="0"/>
          <w:numId w:val="1"/>
        </w:numPr>
        <w:rPr>
          <w:rFonts w:ascii="Arial" w:hAnsi="Arial" w:cs="Arial"/>
          <w:b/>
          <w:bCs/>
          <w:color w:val="FF0000"/>
        </w:rPr>
      </w:pPr>
      <w:r w:rsidRPr="00842F8D">
        <w:rPr>
          <w:rFonts w:ascii="Arial" w:hAnsi="Arial" w:cs="Arial"/>
          <w:b/>
          <w:bCs/>
          <w:color w:val="FF0000"/>
        </w:rPr>
        <w:t>Is there a plan to commission further training centrally or will this need to be planned and commissioned at a local level?</w:t>
      </w:r>
    </w:p>
    <w:p w14:paraId="6E13E4B5" w14:textId="136BFC9C" w:rsidR="003100BB" w:rsidRPr="002772BF" w:rsidRDefault="003100BB" w:rsidP="003100BB">
      <w:pPr>
        <w:ind w:left="720"/>
        <w:rPr>
          <w:rFonts w:ascii="Arial" w:hAnsi="Arial" w:cs="Arial"/>
          <w:color w:val="000000"/>
        </w:rPr>
      </w:pPr>
      <w:r w:rsidRPr="002772BF">
        <w:rPr>
          <w:rFonts w:ascii="Arial" w:hAnsi="Arial" w:cs="Arial"/>
          <w:color w:val="000000"/>
        </w:rPr>
        <w:t xml:space="preserve">Due to the recent inclusion of GPAs as part of the ARRS scheme, </w:t>
      </w:r>
      <w:r w:rsidR="0051063A">
        <w:rPr>
          <w:rFonts w:ascii="Arial" w:hAnsi="Arial" w:cs="Arial"/>
          <w:color w:val="000000"/>
        </w:rPr>
        <w:t xml:space="preserve">we </w:t>
      </w:r>
      <w:r w:rsidRPr="002772BF">
        <w:rPr>
          <w:rFonts w:ascii="Arial" w:hAnsi="Arial" w:cs="Arial"/>
          <w:color w:val="000000"/>
        </w:rPr>
        <w:t xml:space="preserve">intend to expand the structured, accredited, training route based on PCN demand.  This is currently under review, and it is anticipated that national training cohorts are unlikely to come online until next year. </w:t>
      </w:r>
    </w:p>
    <w:p w14:paraId="0C39EEA4" w14:textId="0FB6B064" w:rsidR="003100BB" w:rsidRPr="002772BF" w:rsidRDefault="00DB2633" w:rsidP="003100BB">
      <w:pPr>
        <w:ind w:left="720"/>
        <w:rPr>
          <w:rFonts w:ascii="Arial" w:hAnsi="Arial" w:cs="Arial"/>
        </w:rPr>
      </w:pPr>
      <w:r>
        <w:rPr>
          <w:rFonts w:ascii="Arial" w:hAnsi="Arial" w:cs="Arial"/>
          <w:color w:val="000000"/>
        </w:rPr>
        <w:t>Therefore</w:t>
      </w:r>
      <w:r w:rsidR="003100BB" w:rsidRPr="002772BF">
        <w:rPr>
          <w:rFonts w:ascii="Arial" w:hAnsi="Arial" w:cs="Arial"/>
          <w:color w:val="000000"/>
        </w:rPr>
        <w:t xml:space="preserve">, there will be no requirement to plan and commission training at a local level and we request that if you wish to register your interest in the accredited training route or have any further queries, please contact </w:t>
      </w:r>
      <w:hyperlink r:id="rId13" w:history="1">
        <w:r w:rsidR="003100BB" w:rsidRPr="002772BF">
          <w:rPr>
            <w:rStyle w:val="Hyperlink"/>
            <w:rFonts w:ascii="Arial" w:hAnsi="Arial" w:cs="Arial"/>
            <w:color w:val="0563C1"/>
          </w:rPr>
          <w:t>transformation@hee.nhs.uk</w:t>
        </w:r>
      </w:hyperlink>
      <w:r w:rsidR="003100BB" w:rsidRPr="002772BF">
        <w:rPr>
          <w:rFonts w:ascii="Arial" w:hAnsi="Arial" w:cs="Arial"/>
        </w:rPr>
        <w:t>.</w:t>
      </w:r>
    </w:p>
    <w:p w14:paraId="7621AEBD" w14:textId="77777777" w:rsidR="00165D7A" w:rsidRPr="00165D7A" w:rsidRDefault="00165D7A" w:rsidP="00165D7A">
      <w:pPr>
        <w:pStyle w:val="ListParagraph"/>
        <w:numPr>
          <w:ilvl w:val="0"/>
          <w:numId w:val="1"/>
        </w:numPr>
        <w:spacing w:line="252" w:lineRule="auto"/>
        <w:contextualSpacing/>
        <w:rPr>
          <w:rFonts w:ascii="Arial" w:eastAsia="Times New Roman" w:hAnsi="Arial" w:cs="Arial"/>
          <w:b/>
          <w:bCs/>
        </w:rPr>
      </w:pPr>
      <w:r w:rsidRPr="00165D7A">
        <w:rPr>
          <w:rFonts w:ascii="Arial" w:eastAsia="Times New Roman" w:hAnsi="Arial" w:cs="Arial"/>
          <w:b/>
          <w:bCs/>
        </w:rPr>
        <w:t>Can I receive ARRS funding from Oct onwards for a GPA who is currently studying on the accredited programme?</w:t>
      </w:r>
    </w:p>
    <w:p w14:paraId="05398485" w14:textId="6A221A31" w:rsidR="00165D7A" w:rsidRDefault="00165D7A" w:rsidP="00165D7A">
      <w:pPr>
        <w:pStyle w:val="ListParagraph"/>
        <w:spacing w:line="252" w:lineRule="auto"/>
        <w:rPr>
          <w:rFonts w:ascii="Arial" w:hAnsi="Arial" w:cs="Arial"/>
        </w:rPr>
      </w:pPr>
      <w:r w:rsidRPr="00165D7A">
        <w:rPr>
          <w:rFonts w:ascii="Arial" w:hAnsi="Arial" w:cs="Arial"/>
        </w:rPr>
        <w:t xml:space="preserve">Yes. GPAs were not included in PCN baselines. As such, PCNs </w:t>
      </w:r>
      <w:proofErr w:type="gramStart"/>
      <w:r w:rsidRPr="00165D7A">
        <w:rPr>
          <w:rFonts w:ascii="Arial" w:hAnsi="Arial" w:cs="Arial"/>
        </w:rPr>
        <w:t>are able to</w:t>
      </w:r>
      <w:proofErr w:type="gramEnd"/>
      <w:r w:rsidRPr="00165D7A">
        <w:rPr>
          <w:rFonts w:ascii="Arial" w:hAnsi="Arial" w:cs="Arial"/>
        </w:rPr>
        <w:t xml:space="preserve"> employ GP</w:t>
      </w:r>
      <w:r w:rsidR="00DA50D0">
        <w:rPr>
          <w:rFonts w:ascii="Arial" w:hAnsi="Arial" w:cs="Arial"/>
        </w:rPr>
        <w:t>A</w:t>
      </w:r>
      <w:r w:rsidRPr="00165D7A">
        <w:rPr>
          <w:rFonts w:ascii="Arial" w:hAnsi="Arial" w:cs="Arial"/>
        </w:rPr>
        <w:t xml:space="preserve">s, and claim reimbursement for their salaries as with any other additional role, if staff meet the requirements outlined in the Network Contract DES. </w:t>
      </w:r>
    </w:p>
    <w:p w14:paraId="3953C5E2" w14:textId="5DDB4126" w:rsidR="00183885" w:rsidRDefault="00183885" w:rsidP="00165D7A">
      <w:pPr>
        <w:pStyle w:val="ListParagraph"/>
        <w:spacing w:line="252" w:lineRule="auto"/>
        <w:rPr>
          <w:rFonts w:ascii="Arial" w:hAnsi="Arial" w:cs="Arial"/>
        </w:rPr>
      </w:pPr>
    </w:p>
    <w:p w14:paraId="5BFE0D9B" w14:textId="77777777" w:rsidR="00165D7A" w:rsidRPr="00165D7A" w:rsidRDefault="00165D7A" w:rsidP="00165D7A">
      <w:pPr>
        <w:pStyle w:val="ListParagraph"/>
        <w:numPr>
          <w:ilvl w:val="0"/>
          <w:numId w:val="1"/>
        </w:numPr>
        <w:spacing w:line="252" w:lineRule="auto"/>
        <w:contextualSpacing/>
        <w:rPr>
          <w:rFonts w:ascii="Arial" w:eastAsia="Times New Roman" w:hAnsi="Arial" w:cs="Arial"/>
          <w:b/>
          <w:bCs/>
        </w:rPr>
      </w:pPr>
      <w:r w:rsidRPr="00165D7A">
        <w:rPr>
          <w:rFonts w:ascii="Arial" w:eastAsia="Times New Roman" w:hAnsi="Arial" w:cs="Arial"/>
          <w:b/>
          <w:bCs/>
        </w:rPr>
        <w:t>Once the GPA has completed training and moves from Trainee GPA to GPA, are they still eligible for funding?</w:t>
      </w:r>
    </w:p>
    <w:p w14:paraId="3C5CCE0C" w14:textId="77777777" w:rsidR="00165D7A" w:rsidRPr="00165D7A" w:rsidRDefault="00165D7A" w:rsidP="00165D7A">
      <w:pPr>
        <w:pStyle w:val="ListParagraph"/>
        <w:spacing w:line="252" w:lineRule="auto"/>
        <w:rPr>
          <w:rFonts w:ascii="Arial" w:hAnsi="Arial" w:cs="Arial"/>
        </w:rPr>
      </w:pPr>
      <w:r w:rsidRPr="00165D7A">
        <w:rPr>
          <w:rFonts w:ascii="Arial" w:hAnsi="Arial" w:cs="Arial"/>
        </w:rPr>
        <w:t>Yes</w:t>
      </w:r>
    </w:p>
    <w:p w14:paraId="4F597AED" w14:textId="77777777" w:rsidR="00165D7A" w:rsidRPr="00165D7A" w:rsidRDefault="00165D7A" w:rsidP="00165D7A">
      <w:pPr>
        <w:pStyle w:val="ListParagraph"/>
        <w:spacing w:line="252" w:lineRule="auto"/>
        <w:rPr>
          <w:rFonts w:ascii="Arial" w:hAnsi="Arial" w:cs="Arial"/>
          <w:b/>
          <w:bCs/>
        </w:rPr>
      </w:pPr>
    </w:p>
    <w:p w14:paraId="36CDA466" w14:textId="77777777" w:rsidR="00165D7A" w:rsidRPr="00165D7A" w:rsidRDefault="00165D7A" w:rsidP="00165D7A">
      <w:pPr>
        <w:pStyle w:val="ListParagraph"/>
        <w:numPr>
          <w:ilvl w:val="0"/>
          <w:numId w:val="1"/>
        </w:numPr>
        <w:spacing w:line="252" w:lineRule="auto"/>
        <w:contextualSpacing/>
        <w:rPr>
          <w:rFonts w:ascii="Arial" w:eastAsia="Times New Roman" w:hAnsi="Arial" w:cs="Arial"/>
          <w:b/>
          <w:bCs/>
        </w:rPr>
      </w:pPr>
      <w:r w:rsidRPr="00165D7A">
        <w:rPr>
          <w:rFonts w:ascii="Arial" w:eastAsia="Times New Roman" w:hAnsi="Arial" w:cs="Arial"/>
          <w:b/>
          <w:bCs/>
        </w:rPr>
        <w:lastRenderedPageBreak/>
        <w:t xml:space="preserve">Is back dated funding available for GPA who has already passed the accredited programme and hired into the role? </w:t>
      </w:r>
    </w:p>
    <w:p w14:paraId="0A28AFC7" w14:textId="77777777" w:rsidR="00165D7A" w:rsidRPr="00165D7A" w:rsidRDefault="00165D7A" w:rsidP="00165D7A">
      <w:pPr>
        <w:pStyle w:val="ListParagraph"/>
        <w:rPr>
          <w:rFonts w:ascii="Arial" w:hAnsi="Arial" w:cs="Arial"/>
        </w:rPr>
      </w:pPr>
      <w:r w:rsidRPr="00165D7A">
        <w:rPr>
          <w:rFonts w:ascii="Arial" w:hAnsi="Arial" w:cs="Arial"/>
        </w:rPr>
        <w:t xml:space="preserve">No, PCNs can only claim reimbursement for GPA salaries from the point at which the role is introduced in the Network Contract DES. It is not possible to claim funding for back dated salaries prior to that date. </w:t>
      </w:r>
    </w:p>
    <w:p w14:paraId="33E1E563" w14:textId="77777777" w:rsidR="00B824DE" w:rsidRDefault="00B824DE" w:rsidP="00B824DE">
      <w:pPr>
        <w:pStyle w:val="ListParagraph"/>
        <w:spacing w:line="252" w:lineRule="auto"/>
        <w:contextualSpacing/>
        <w:rPr>
          <w:rFonts w:ascii="Arial" w:eastAsia="Times New Roman" w:hAnsi="Arial" w:cs="Arial"/>
          <w:b/>
          <w:bCs/>
        </w:rPr>
      </w:pPr>
    </w:p>
    <w:p w14:paraId="608CEC0F" w14:textId="051C908B" w:rsidR="00165D7A" w:rsidRPr="00165D7A" w:rsidRDefault="00165D7A" w:rsidP="00165D7A">
      <w:pPr>
        <w:pStyle w:val="ListParagraph"/>
        <w:numPr>
          <w:ilvl w:val="0"/>
          <w:numId w:val="1"/>
        </w:numPr>
        <w:spacing w:line="252" w:lineRule="auto"/>
        <w:contextualSpacing/>
        <w:rPr>
          <w:rFonts w:ascii="Arial" w:eastAsia="Times New Roman" w:hAnsi="Arial" w:cs="Arial"/>
          <w:b/>
          <w:bCs/>
        </w:rPr>
      </w:pPr>
      <w:r w:rsidRPr="00165D7A">
        <w:rPr>
          <w:rFonts w:ascii="Arial" w:eastAsia="Times New Roman" w:hAnsi="Arial" w:cs="Arial"/>
          <w:b/>
          <w:bCs/>
        </w:rPr>
        <w:t>Is there a cap on numbers for Trainee GPAs?</w:t>
      </w:r>
    </w:p>
    <w:p w14:paraId="1948F2D0" w14:textId="77777777" w:rsidR="00165D7A" w:rsidRPr="00165D7A" w:rsidRDefault="00165D7A" w:rsidP="00165D7A">
      <w:pPr>
        <w:pStyle w:val="ListParagraph"/>
        <w:rPr>
          <w:rFonts w:ascii="Arial" w:hAnsi="Arial" w:cs="Arial"/>
        </w:rPr>
      </w:pPr>
      <w:r w:rsidRPr="00165D7A">
        <w:rPr>
          <w:rFonts w:ascii="Arial" w:hAnsi="Arial" w:cs="Arial"/>
        </w:rPr>
        <w:t xml:space="preserve">No, recruitment is not capped. </w:t>
      </w:r>
    </w:p>
    <w:p w14:paraId="1E97D69A" w14:textId="77777777" w:rsidR="00165D7A" w:rsidRPr="00165D7A" w:rsidRDefault="00165D7A" w:rsidP="00165D7A">
      <w:pPr>
        <w:pStyle w:val="ListParagraph"/>
        <w:rPr>
          <w:rFonts w:ascii="Arial" w:hAnsi="Arial" w:cs="Arial"/>
        </w:rPr>
      </w:pPr>
    </w:p>
    <w:p w14:paraId="42109EE6" w14:textId="77777777" w:rsidR="00165D7A" w:rsidRPr="00165D7A" w:rsidRDefault="00165D7A" w:rsidP="00165D7A">
      <w:pPr>
        <w:pStyle w:val="ListParagraph"/>
        <w:numPr>
          <w:ilvl w:val="0"/>
          <w:numId w:val="1"/>
        </w:numPr>
        <w:spacing w:line="252" w:lineRule="auto"/>
        <w:contextualSpacing/>
        <w:rPr>
          <w:rFonts w:ascii="Arial" w:eastAsia="Times New Roman" w:hAnsi="Arial" w:cs="Arial"/>
          <w:b/>
          <w:bCs/>
        </w:rPr>
      </w:pPr>
      <w:r w:rsidRPr="00165D7A">
        <w:rPr>
          <w:rFonts w:ascii="Arial" w:eastAsia="Times New Roman" w:hAnsi="Arial" w:cs="Arial"/>
          <w:b/>
          <w:bCs/>
        </w:rPr>
        <w:t>Can non-accredited GPAs move between practices?</w:t>
      </w:r>
    </w:p>
    <w:p w14:paraId="12ACA5F0" w14:textId="77777777" w:rsidR="00165D7A" w:rsidRPr="00165D7A" w:rsidRDefault="00165D7A" w:rsidP="00165D7A">
      <w:pPr>
        <w:pStyle w:val="ListParagraph"/>
        <w:spacing w:line="252" w:lineRule="auto"/>
        <w:rPr>
          <w:rFonts w:ascii="Arial" w:hAnsi="Arial" w:cs="Arial"/>
        </w:rPr>
      </w:pPr>
      <w:r w:rsidRPr="00165D7A">
        <w:rPr>
          <w:rFonts w:ascii="Arial" w:hAnsi="Arial" w:cs="Arial"/>
        </w:rPr>
        <w:t xml:space="preserve">Yes, hiring decisions are made by individual PCNs, which hold responsibility for ensuring that staff meet the requirements of the DES. </w:t>
      </w:r>
    </w:p>
    <w:p w14:paraId="0466AD80" w14:textId="77777777" w:rsidR="00165D7A" w:rsidRPr="00165D7A" w:rsidRDefault="00165D7A" w:rsidP="00165D7A">
      <w:pPr>
        <w:pStyle w:val="ListParagraph"/>
        <w:spacing w:line="252" w:lineRule="auto"/>
        <w:rPr>
          <w:rFonts w:ascii="Arial" w:hAnsi="Arial" w:cs="Arial"/>
        </w:rPr>
      </w:pPr>
    </w:p>
    <w:p w14:paraId="721ABBA6" w14:textId="77777777" w:rsidR="00165D7A" w:rsidRPr="00165D7A" w:rsidRDefault="00165D7A" w:rsidP="00165D7A">
      <w:pPr>
        <w:pStyle w:val="ListParagraph"/>
        <w:numPr>
          <w:ilvl w:val="0"/>
          <w:numId w:val="1"/>
        </w:numPr>
        <w:spacing w:line="252" w:lineRule="auto"/>
        <w:rPr>
          <w:rFonts w:ascii="Arial" w:eastAsia="Times New Roman" w:hAnsi="Arial" w:cs="Arial"/>
          <w:b/>
          <w:bCs/>
        </w:rPr>
      </w:pPr>
      <w:r w:rsidRPr="00165D7A">
        <w:rPr>
          <w:rFonts w:ascii="Arial" w:eastAsia="Times New Roman" w:hAnsi="Arial" w:cs="Arial"/>
          <w:b/>
          <w:bCs/>
        </w:rPr>
        <w:t>Can each practice interpret what the job role will be, or will there be a requirement for them to choose either a non-clinical or ‘hybrid’ role (clinical and non-clinical)?</w:t>
      </w:r>
    </w:p>
    <w:p w14:paraId="069DB955" w14:textId="77777777" w:rsidR="00165D7A" w:rsidRPr="00165D7A" w:rsidRDefault="00165D7A" w:rsidP="00165D7A">
      <w:pPr>
        <w:pStyle w:val="ListParagraph"/>
        <w:spacing w:line="252" w:lineRule="auto"/>
        <w:rPr>
          <w:rFonts w:ascii="Arial" w:hAnsi="Arial" w:cs="Arial"/>
        </w:rPr>
      </w:pPr>
      <w:r w:rsidRPr="00165D7A">
        <w:rPr>
          <w:rFonts w:ascii="Arial" w:hAnsi="Arial" w:cs="Arial"/>
        </w:rPr>
        <w:t xml:space="preserve">PCNs practices can choose how to deploy staff in this role, within the outlines of the competency framework and role description. </w:t>
      </w:r>
    </w:p>
    <w:p w14:paraId="6BDBA640" w14:textId="77777777" w:rsidR="00165D7A" w:rsidRPr="00165D7A" w:rsidRDefault="00165D7A" w:rsidP="00165D7A">
      <w:pPr>
        <w:pStyle w:val="ListParagraph"/>
        <w:spacing w:line="252" w:lineRule="auto"/>
        <w:ind w:left="0"/>
        <w:contextualSpacing/>
        <w:rPr>
          <w:rFonts w:ascii="Arial" w:hAnsi="Arial" w:cs="Arial"/>
          <w:b/>
          <w:bCs/>
        </w:rPr>
      </w:pPr>
    </w:p>
    <w:p w14:paraId="6485E42D" w14:textId="77777777" w:rsidR="00165D7A" w:rsidRPr="00165D7A" w:rsidRDefault="00165D7A" w:rsidP="00165D7A">
      <w:pPr>
        <w:pStyle w:val="ListParagraph"/>
        <w:numPr>
          <w:ilvl w:val="0"/>
          <w:numId w:val="1"/>
        </w:numPr>
        <w:spacing w:line="252" w:lineRule="auto"/>
        <w:contextualSpacing/>
        <w:rPr>
          <w:rFonts w:ascii="Arial" w:eastAsia="Times New Roman" w:hAnsi="Arial" w:cs="Arial"/>
          <w:b/>
          <w:bCs/>
        </w:rPr>
      </w:pPr>
      <w:r w:rsidRPr="00165D7A">
        <w:rPr>
          <w:rFonts w:ascii="Arial" w:eastAsia="Times New Roman" w:hAnsi="Arial" w:cs="Arial"/>
          <w:b/>
          <w:bCs/>
        </w:rPr>
        <w:t xml:space="preserve">Is there any support offered/monitoring of progress or will this be down to the GP practice? How will learners complete if no evidence </w:t>
      </w:r>
      <w:proofErr w:type="gramStart"/>
      <w:r w:rsidRPr="00165D7A">
        <w:rPr>
          <w:rFonts w:ascii="Arial" w:eastAsia="Times New Roman" w:hAnsi="Arial" w:cs="Arial"/>
          <w:b/>
          <w:bCs/>
        </w:rPr>
        <w:t>has to</w:t>
      </w:r>
      <w:proofErr w:type="gramEnd"/>
      <w:r w:rsidRPr="00165D7A">
        <w:rPr>
          <w:rFonts w:ascii="Arial" w:eastAsia="Times New Roman" w:hAnsi="Arial" w:cs="Arial"/>
          <w:b/>
          <w:bCs/>
        </w:rPr>
        <w:t xml:space="preserve"> be submitted?</w:t>
      </w:r>
    </w:p>
    <w:p w14:paraId="7F8F8728" w14:textId="77777777" w:rsidR="00165D7A" w:rsidRPr="00165D7A" w:rsidRDefault="00165D7A" w:rsidP="00165D7A">
      <w:pPr>
        <w:pStyle w:val="ListParagraph"/>
        <w:spacing w:line="252" w:lineRule="auto"/>
        <w:rPr>
          <w:rFonts w:ascii="Arial" w:hAnsi="Arial" w:cs="Arial"/>
        </w:rPr>
      </w:pPr>
      <w:r w:rsidRPr="00165D7A">
        <w:rPr>
          <w:rFonts w:ascii="Arial" w:hAnsi="Arial" w:cs="Arial"/>
        </w:rPr>
        <w:t>GPAs can choose to take part in the formal accreditation programme. If they do not, they will be expected to develop competencies, under the supervision of a GP, in line with the competency framework.  </w:t>
      </w:r>
    </w:p>
    <w:p w14:paraId="4041108D" w14:textId="77777777" w:rsidR="00165D7A" w:rsidRPr="00165D7A" w:rsidRDefault="00165D7A" w:rsidP="00165D7A">
      <w:pPr>
        <w:pStyle w:val="ListParagraph"/>
        <w:spacing w:line="252" w:lineRule="auto"/>
        <w:rPr>
          <w:rFonts w:ascii="Arial" w:hAnsi="Arial" w:cs="Arial"/>
        </w:rPr>
      </w:pPr>
    </w:p>
    <w:p w14:paraId="1B24D75A" w14:textId="77777777" w:rsidR="00165D7A" w:rsidRPr="00165D7A" w:rsidRDefault="00165D7A" w:rsidP="00165D7A">
      <w:pPr>
        <w:pStyle w:val="ListParagraph"/>
        <w:numPr>
          <w:ilvl w:val="0"/>
          <w:numId w:val="1"/>
        </w:numPr>
        <w:spacing w:line="252" w:lineRule="auto"/>
        <w:contextualSpacing/>
        <w:rPr>
          <w:rFonts w:ascii="Arial" w:eastAsia="Times New Roman" w:hAnsi="Arial" w:cs="Arial"/>
          <w:b/>
          <w:bCs/>
        </w:rPr>
      </w:pPr>
      <w:r w:rsidRPr="00165D7A">
        <w:rPr>
          <w:rFonts w:ascii="Arial" w:eastAsia="Times New Roman" w:hAnsi="Arial" w:cs="Arial"/>
          <w:b/>
          <w:bCs/>
        </w:rPr>
        <w:t>What are the implications on indemnity and public liability insurance and/or arrangements?</w:t>
      </w:r>
    </w:p>
    <w:p w14:paraId="6F666146" w14:textId="77777777" w:rsidR="00165D7A" w:rsidRPr="00165D7A" w:rsidRDefault="00165D7A" w:rsidP="00165D7A">
      <w:pPr>
        <w:pStyle w:val="ListParagraph"/>
        <w:spacing w:line="252" w:lineRule="auto"/>
        <w:rPr>
          <w:rFonts w:ascii="Arial" w:hAnsi="Arial" w:cs="Arial"/>
        </w:rPr>
      </w:pPr>
      <w:r w:rsidRPr="00165D7A">
        <w:rPr>
          <w:rFonts w:ascii="Arial" w:hAnsi="Arial" w:cs="Arial"/>
        </w:rPr>
        <w:t>GPAs will operate under the contract, guidance and supervision of GPs, as with other ARRS roles. GPs hold responsibility for services delivered under their contract.  </w:t>
      </w:r>
    </w:p>
    <w:p w14:paraId="32D299B8" w14:textId="77777777" w:rsidR="00165D7A" w:rsidRDefault="00165D7A">
      <w:pPr>
        <w:rPr>
          <w:rFonts w:ascii="Arial" w:hAnsi="Arial" w:cs="Arial"/>
        </w:rPr>
      </w:pPr>
    </w:p>
    <w:p w14:paraId="002DBF45" w14:textId="6A1C76E3" w:rsidR="00165D7A" w:rsidRDefault="00165D7A">
      <w:pPr>
        <w:rPr>
          <w:rFonts w:ascii="Arial" w:hAnsi="Arial" w:cs="Arial"/>
        </w:rPr>
      </w:pPr>
    </w:p>
    <w:p w14:paraId="6109D0AF" w14:textId="1153A7C5" w:rsidR="00842F8D" w:rsidRPr="00842F8D" w:rsidRDefault="00842F8D" w:rsidP="00842F8D">
      <w:pPr>
        <w:rPr>
          <w:rFonts w:ascii="Arial" w:hAnsi="Arial" w:cs="Arial"/>
        </w:rPr>
      </w:pPr>
    </w:p>
    <w:p w14:paraId="498B37ED" w14:textId="77777777" w:rsidR="00165D7A" w:rsidRDefault="00165D7A">
      <w:pPr>
        <w:rPr>
          <w:rFonts w:ascii="Arial" w:hAnsi="Arial" w:cs="Arial"/>
        </w:rPr>
      </w:pPr>
    </w:p>
    <w:p w14:paraId="3A7969D7" w14:textId="77777777" w:rsidR="00165D7A" w:rsidRDefault="00165D7A">
      <w:pPr>
        <w:rPr>
          <w:rFonts w:ascii="Arial" w:hAnsi="Arial" w:cs="Arial"/>
        </w:rPr>
      </w:pPr>
    </w:p>
    <w:p w14:paraId="0D2B3C62" w14:textId="77777777" w:rsidR="00165D7A" w:rsidRDefault="00165D7A">
      <w:pPr>
        <w:rPr>
          <w:rFonts w:ascii="Arial" w:hAnsi="Arial" w:cs="Arial"/>
        </w:rPr>
      </w:pPr>
    </w:p>
    <w:p w14:paraId="0CA2108B" w14:textId="77777777" w:rsidR="00165D7A" w:rsidRDefault="00165D7A">
      <w:pPr>
        <w:rPr>
          <w:rFonts w:ascii="Arial" w:hAnsi="Arial" w:cs="Arial"/>
        </w:rPr>
      </w:pPr>
    </w:p>
    <w:p w14:paraId="70C0C567" w14:textId="77777777" w:rsidR="00165D7A" w:rsidRDefault="00165D7A">
      <w:pPr>
        <w:rPr>
          <w:rFonts w:ascii="Arial" w:hAnsi="Arial" w:cs="Arial"/>
        </w:rPr>
      </w:pPr>
    </w:p>
    <w:p w14:paraId="7FF56E8F" w14:textId="77777777" w:rsidR="00165D7A" w:rsidRDefault="00165D7A">
      <w:pPr>
        <w:rPr>
          <w:rFonts w:ascii="Arial" w:hAnsi="Arial" w:cs="Arial"/>
        </w:rPr>
      </w:pPr>
    </w:p>
    <w:p w14:paraId="4D08F267" w14:textId="77777777" w:rsidR="00165D7A" w:rsidRDefault="00165D7A">
      <w:pPr>
        <w:rPr>
          <w:rFonts w:ascii="Arial" w:hAnsi="Arial" w:cs="Arial"/>
        </w:rPr>
      </w:pPr>
    </w:p>
    <w:p w14:paraId="4C47D81F" w14:textId="77777777" w:rsidR="00165D7A" w:rsidRDefault="00165D7A">
      <w:pPr>
        <w:rPr>
          <w:rFonts w:ascii="Arial" w:hAnsi="Arial" w:cs="Arial"/>
        </w:rPr>
      </w:pPr>
    </w:p>
    <w:p w14:paraId="2179A2DC" w14:textId="77777777" w:rsidR="00165D7A" w:rsidRDefault="00165D7A">
      <w:pPr>
        <w:rPr>
          <w:rFonts w:ascii="Arial" w:hAnsi="Arial" w:cs="Arial"/>
        </w:rPr>
      </w:pPr>
    </w:p>
    <w:sectPr w:rsidR="00165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D7EDF"/>
    <w:multiLevelType w:val="hybridMultilevel"/>
    <w:tmpl w:val="9EB898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44"/>
    <w:rsid w:val="000468D9"/>
    <w:rsid w:val="001471A2"/>
    <w:rsid w:val="00165D7A"/>
    <w:rsid w:val="00183885"/>
    <w:rsid w:val="0018607F"/>
    <w:rsid w:val="0020299E"/>
    <w:rsid w:val="0021118B"/>
    <w:rsid w:val="00275C8F"/>
    <w:rsid w:val="002772BF"/>
    <w:rsid w:val="003100BB"/>
    <w:rsid w:val="00312C6E"/>
    <w:rsid w:val="00371A4C"/>
    <w:rsid w:val="003C5A32"/>
    <w:rsid w:val="003F463B"/>
    <w:rsid w:val="004327A4"/>
    <w:rsid w:val="0051063A"/>
    <w:rsid w:val="005B09BB"/>
    <w:rsid w:val="00665876"/>
    <w:rsid w:val="00691286"/>
    <w:rsid w:val="006C1047"/>
    <w:rsid w:val="007F37AD"/>
    <w:rsid w:val="00807A17"/>
    <w:rsid w:val="00842F8D"/>
    <w:rsid w:val="008509BE"/>
    <w:rsid w:val="008A18D5"/>
    <w:rsid w:val="00A43444"/>
    <w:rsid w:val="00A53558"/>
    <w:rsid w:val="00A8280F"/>
    <w:rsid w:val="00B36E92"/>
    <w:rsid w:val="00B824DE"/>
    <w:rsid w:val="00D456C9"/>
    <w:rsid w:val="00DA50D0"/>
    <w:rsid w:val="00DB2633"/>
    <w:rsid w:val="00DF7338"/>
    <w:rsid w:val="00EE14DB"/>
    <w:rsid w:val="00FE4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A1F1"/>
  <w15:chartTrackingRefBased/>
  <w15:docId w15:val="{0F0E4D28-955F-4EF1-B9DD-C1E9F185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444"/>
    <w:rPr>
      <w:color w:val="0000FF"/>
      <w:u w:val="single"/>
    </w:rPr>
  </w:style>
  <w:style w:type="paragraph" w:styleId="ListParagraph">
    <w:name w:val="List Paragraph"/>
    <w:basedOn w:val="Normal"/>
    <w:uiPriority w:val="34"/>
    <w:qFormat/>
    <w:rsid w:val="00165D7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236">
      <w:bodyDiv w:val="1"/>
      <w:marLeft w:val="0"/>
      <w:marRight w:val="0"/>
      <w:marTop w:val="0"/>
      <w:marBottom w:val="0"/>
      <w:divBdr>
        <w:top w:val="none" w:sz="0" w:space="0" w:color="auto"/>
        <w:left w:val="none" w:sz="0" w:space="0" w:color="auto"/>
        <w:bottom w:val="none" w:sz="0" w:space="0" w:color="auto"/>
        <w:right w:val="none" w:sz="0" w:space="0" w:color="auto"/>
      </w:divBdr>
    </w:div>
    <w:div w:id="232741585">
      <w:bodyDiv w:val="1"/>
      <w:marLeft w:val="0"/>
      <w:marRight w:val="0"/>
      <w:marTop w:val="0"/>
      <w:marBottom w:val="0"/>
      <w:divBdr>
        <w:top w:val="none" w:sz="0" w:space="0" w:color="auto"/>
        <w:left w:val="none" w:sz="0" w:space="0" w:color="auto"/>
        <w:bottom w:val="none" w:sz="0" w:space="0" w:color="auto"/>
        <w:right w:val="none" w:sz="0" w:space="0" w:color="auto"/>
      </w:divBdr>
    </w:div>
    <w:div w:id="882863274">
      <w:bodyDiv w:val="1"/>
      <w:marLeft w:val="0"/>
      <w:marRight w:val="0"/>
      <w:marTop w:val="0"/>
      <w:marBottom w:val="0"/>
      <w:divBdr>
        <w:top w:val="none" w:sz="0" w:space="0" w:color="auto"/>
        <w:left w:val="none" w:sz="0" w:space="0" w:color="auto"/>
        <w:bottom w:val="none" w:sz="0" w:space="0" w:color="auto"/>
        <w:right w:val="none" w:sz="0" w:space="0" w:color="auto"/>
      </w:divBdr>
    </w:div>
    <w:div w:id="986855651">
      <w:bodyDiv w:val="1"/>
      <w:marLeft w:val="0"/>
      <w:marRight w:val="0"/>
      <w:marTop w:val="0"/>
      <w:marBottom w:val="0"/>
      <w:divBdr>
        <w:top w:val="none" w:sz="0" w:space="0" w:color="auto"/>
        <w:left w:val="none" w:sz="0" w:space="0" w:color="auto"/>
        <w:bottom w:val="none" w:sz="0" w:space="0" w:color="auto"/>
        <w:right w:val="none" w:sz="0" w:space="0" w:color="auto"/>
      </w:divBdr>
    </w:div>
    <w:div w:id="1075592805">
      <w:bodyDiv w:val="1"/>
      <w:marLeft w:val="0"/>
      <w:marRight w:val="0"/>
      <w:marTop w:val="0"/>
      <w:marBottom w:val="0"/>
      <w:divBdr>
        <w:top w:val="none" w:sz="0" w:space="0" w:color="auto"/>
        <w:left w:val="none" w:sz="0" w:space="0" w:color="auto"/>
        <w:bottom w:val="none" w:sz="0" w:space="0" w:color="auto"/>
        <w:right w:val="none" w:sz="0" w:space="0" w:color="auto"/>
      </w:divBdr>
    </w:div>
    <w:div w:id="19819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primarycareworkforce@nhs.net" TargetMode="External"/><Relationship Id="rId13" Type="http://schemas.openxmlformats.org/officeDocument/2006/relationships/hyperlink" Target="mailto:transformation@hee.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tect-eu.mimecast.com/s/5s3LCpklwHqPEpOiPKtlm?domain=england.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nsformation@hee.nhs.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rotect-eu.mimecast.com/s/5s3LCpklwHqPEpOiPKtlm?domain=england.nhs.uk" TargetMode="External"/><Relationship Id="rId4" Type="http://schemas.openxmlformats.org/officeDocument/2006/relationships/numbering" Target="numbering.xml"/><Relationship Id="rId9" Type="http://schemas.openxmlformats.org/officeDocument/2006/relationships/hyperlink" Target="mailto:transformation@hee.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EDF926205F428B4AABA7A655632A" ma:contentTypeVersion="16" ma:contentTypeDescription="Create a new document." ma:contentTypeScope="" ma:versionID="b3cd83f91d68105ff62ff3482cfb0974">
  <xsd:schema xmlns:xsd="http://www.w3.org/2001/XMLSchema" xmlns:xs="http://www.w3.org/2001/XMLSchema" xmlns:p="http://schemas.microsoft.com/office/2006/metadata/properties" xmlns:ns2="5aa42708-9fd6-492a-b8f9-4c262b326839" xmlns:ns3="d60079be-73e1-4fd7-a976-33eaa6fbbc69" targetNamespace="http://schemas.microsoft.com/office/2006/metadata/properties" ma:root="true" ma:fieldsID="5ed8c4661884ad0248f53332b76cc43c" ns2:_="" ns3:_="">
    <xsd:import namespace="5aa42708-9fd6-492a-b8f9-4c262b326839"/>
    <xsd:import namespace="d60079be-73e1-4fd7-a976-33eaa6fbbc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42708-9fd6-492a-b8f9-4c262b3268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0079be-73e1-4fd7-a976-33eaa6fbbc6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66c1eb6-4e72-445f-9782-9297b5f66dd7}" ma:internalName="TaxCatchAll" ma:showField="CatchAllData" ma:web="d60079be-73e1-4fd7-a976-33eaa6fbbc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60079be-73e1-4fd7-a976-33eaa6fbbc69" xsi:nil="true"/>
    <lcf76f155ced4ddcb4097134ff3c332f xmlns="5aa42708-9fd6-492a-b8f9-4c262b32683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11D14-4A71-4F30-B66B-EEF713A51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42708-9fd6-492a-b8f9-4c262b326839"/>
    <ds:schemaRef ds:uri="d60079be-73e1-4fd7-a976-33eaa6fbb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8AA87-90CA-47D9-87BA-C7F04034CB4F}">
  <ds:schemaRefs>
    <ds:schemaRef ds:uri="http://schemas.microsoft.com/office/2006/metadata/properties"/>
    <ds:schemaRef ds:uri="http://schemas.microsoft.com/office/infopath/2007/PartnerControls"/>
    <ds:schemaRef ds:uri="d60079be-73e1-4fd7-a976-33eaa6fbbc69"/>
    <ds:schemaRef ds:uri="5aa42708-9fd6-492a-b8f9-4c262b326839"/>
  </ds:schemaRefs>
</ds:datastoreItem>
</file>

<file path=customXml/itemProps3.xml><?xml version="1.0" encoding="utf-8"?>
<ds:datastoreItem xmlns:ds="http://schemas.openxmlformats.org/officeDocument/2006/customXml" ds:itemID="{3200C094-598F-466D-BE2D-7C124C82FE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Podmore</dc:creator>
  <cp:keywords/>
  <dc:description/>
  <cp:lastModifiedBy>Kerry Corscadden</cp:lastModifiedBy>
  <cp:revision>2</cp:revision>
  <dcterms:created xsi:type="dcterms:W3CDTF">2022-11-03T10:21:00Z</dcterms:created>
  <dcterms:modified xsi:type="dcterms:W3CDTF">2022-11-03T10:21:00Z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0x010100D708EDF926205F428B4AABA7A655632A</vt:lpwstr>
  </property>
  <property fmtid="{D5CDD505-2E9C-101B-9397-08002B2CF9AE}" pid="3" name="MediaServiceImageTags">
    <vt:lpwstr/>
  </property>
</Properties>
</file>